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2F6116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 xml:space="preserve">on handling fractional shares and unsold shares of the share issue to outstanding shareholders of </w:t>
      </w:r>
      <w:proofErr w:type="spellStart"/>
      <w:r w:rsidRPr="002F6116">
        <w:rPr>
          <w:rFonts w:ascii="Arial" w:hAnsi="Arial" w:cs="Arial"/>
          <w:b/>
          <w:sz w:val="20"/>
          <w:szCs w:val="20"/>
        </w:rPr>
        <w:t>Thuan</w:t>
      </w:r>
      <w:proofErr w:type="spellEnd"/>
      <w:r w:rsidRPr="002F61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6116">
        <w:rPr>
          <w:rFonts w:ascii="Arial" w:hAnsi="Arial" w:cs="Arial"/>
          <w:b/>
          <w:sz w:val="20"/>
          <w:szCs w:val="20"/>
        </w:rPr>
        <w:t>Phuoc</w:t>
      </w:r>
      <w:proofErr w:type="spellEnd"/>
      <w:r w:rsidRPr="002F61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6116">
        <w:rPr>
          <w:rFonts w:ascii="Arial" w:hAnsi="Arial" w:cs="Arial"/>
          <w:b/>
          <w:sz w:val="20"/>
          <w:szCs w:val="20"/>
        </w:rPr>
        <w:t>Seafoods</w:t>
      </w:r>
      <w:proofErr w:type="spellEnd"/>
      <w:r w:rsidRPr="002F6116">
        <w:rPr>
          <w:rFonts w:ascii="Arial" w:hAnsi="Arial" w:cs="Arial"/>
          <w:b/>
          <w:sz w:val="20"/>
          <w:szCs w:val="20"/>
        </w:rPr>
        <w:t xml:space="preserve"> and Trading Corporation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4156A">
        <w:rPr>
          <w:rFonts w:ascii="Arial" w:hAnsi="Arial" w:cs="Arial"/>
          <w:b/>
          <w:sz w:val="20"/>
          <w:szCs w:val="20"/>
        </w:rPr>
        <w:t xml:space="preserve">according to Certificate of share offer to the public No.89/GCN-UBCK dated 07 May 2020 of the State Securities Commission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F6116">
        <w:rPr>
          <w:rFonts w:ascii="Arial" w:hAnsi="Arial" w:cs="Arial"/>
          <w:sz w:val="20"/>
          <w:szCs w:val="20"/>
        </w:rPr>
        <w:t>13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6116" w:rsidRPr="002F6116">
        <w:rPr>
          <w:rFonts w:ascii="Arial" w:hAnsi="Arial" w:cs="Arial"/>
          <w:sz w:val="20"/>
          <w:szCs w:val="20"/>
        </w:rPr>
        <w:t>Thuan</w:t>
      </w:r>
      <w:proofErr w:type="spellEnd"/>
      <w:r w:rsidR="002F6116" w:rsidRPr="002F61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6116" w:rsidRPr="002F6116">
        <w:rPr>
          <w:rFonts w:ascii="Arial" w:hAnsi="Arial" w:cs="Arial"/>
          <w:sz w:val="20"/>
          <w:szCs w:val="20"/>
        </w:rPr>
        <w:t>Phuoc</w:t>
      </w:r>
      <w:proofErr w:type="spellEnd"/>
      <w:r w:rsidR="002F6116" w:rsidRPr="002F61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6116" w:rsidRPr="002F6116">
        <w:rPr>
          <w:rFonts w:ascii="Arial" w:hAnsi="Arial" w:cs="Arial"/>
          <w:sz w:val="20"/>
          <w:szCs w:val="20"/>
        </w:rPr>
        <w:t>Seafoods</w:t>
      </w:r>
      <w:proofErr w:type="spellEnd"/>
      <w:r w:rsidR="002F6116" w:rsidRPr="002F6116">
        <w:rPr>
          <w:rFonts w:ascii="Arial" w:hAnsi="Arial" w:cs="Arial"/>
          <w:sz w:val="20"/>
          <w:szCs w:val="20"/>
        </w:rPr>
        <w:t xml:space="preserve"> and Trading Corporation</w:t>
      </w:r>
      <w:r w:rsidR="002F6116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321920" w:rsidRPr="00321920">
        <w:rPr>
          <w:rFonts w:ascii="Arial" w:hAnsi="Arial" w:cs="Arial"/>
          <w:sz w:val="20"/>
          <w:szCs w:val="20"/>
        </w:rPr>
        <w:t xml:space="preserve">on handling fractional shares and unsold shares of the share issue to outstanding shareholders of </w:t>
      </w:r>
      <w:proofErr w:type="spellStart"/>
      <w:r w:rsidR="00321920" w:rsidRPr="00321920">
        <w:rPr>
          <w:rFonts w:ascii="Arial" w:hAnsi="Arial" w:cs="Arial"/>
          <w:sz w:val="20"/>
          <w:szCs w:val="20"/>
        </w:rPr>
        <w:t>Thuan</w:t>
      </w:r>
      <w:proofErr w:type="spellEnd"/>
      <w:r w:rsidR="00321920" w:rsidRPr="003219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1920" w:rsidRPr="00321920">
        <w:rPr>
          <w:rFonts w:ascii="Arial" w:hAnsi="Arial" w:cs="Arial"/>
          <w:sz w:val="20"/>
          <w:szCs w:val="20"/>
        </w:rPr>
        <w:t>Phuoc</w:t>
      </w:r>
      <w:proofErr w:type="spellEnd"/>
      <w:r w:rsidR="00321920" w:rsidRPr="003219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1920" w:rsidRPr="00321920">
        <w:rPr>
          <w:rFonts w:ascii="Arial" w:hAnsi="Arial" w:cs="Arial"/>
          <w:sz w:val="20"/>
          <w:szCs w:val="20"/>
        </w:rPr>
        <w:t>Seafoods</w:t>
      </w:r>
      <w:proofErr w:type="spellEnd"/>
      <w:r w:rsidR="00321920" w:rsidRPr="00321920">
        <w:rPr>
          <w:rFonts w:ascii="Arial" w:hAnsi="Arial" w:cs="Arial"/>
          <w:sz w:val="20"/>
          <w:szCs w:val="20"/>
        </w:rPr>
        <w:t xml:space="preserve"> and Trading Corporation according to Certificate of share offer to the public No.89/GCN-UBCK dated 07 May 2020 of the State Securities Commission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21920" w:rsidRDefault="0032192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920">
        <w:rPr>
          <w:rFonts w:ascii="Arial" w:hAnsi="Arial" w:cs="Arial"/>
          <w:sz w:val="20"/>
          <w:szCs w:val="20"/>
        </w:rPr>
        <w:t xml:space="preserve">Article 1: Approve the results of issuing shares to increase share capital from owners' equity and exercise stock purchase rights of existing shareholders </w:t>
      </w:r>
      <w:r>
        <w:rPr>
          <w:rFonts w:ascii="Arial" w:hAnsi="Arial" w:cs="Arial"/>
          <w:sz w:val="20"/>
          <w:szCs w:val="20"/>
        </w:rPr>
        <w:t>in the public offering of stock</w:t>
      </w:r>
    </w:p>
    <w:p w:rsidR="00464C5F" w:rsidRDefault="0032192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920">
        <w:rPr>
          <w:rFonts w:ascii="Arial" w:hAnsi="Arial" w:cs="Arial"/>
          <w:sz w:val="20"/>
          <w:szCs w:val="20"/>
        </w:rPr>
        <w:t>1. Number of s</w:t>
      </w:r>
      <w:r w:rsidR="00464C5F">
        <w:rPr>
          <w:rFonts w:ascii="Arial" w:hAnsi="Arial" w:cs="Arial"/>
          <w:sz w:val="20"/>
          <w:szCs w:val="20"/>
        </w:rPr>
        <w:t>hares issued under the plan: 14,407,</w:t>
      </w:r>
      <w:r w:rsidRPr="00321920">
        <w:rPr>
          <w:rFonts w:ascii="Arial" w:hAnsi="Arial" w:cs="Arial"/>
          <w:sz w:val="20"/>
          <w:szCs w:val="20"/>
        </w:rPr>
        <w:t>190 sha</w:t>
      </w:r>
      <w:r w:rsidR="00464C5F">
        <w:rPr>
          <w:rFonts w:ascii="Arial" w:hAnsi="Arial" w:cs="Arial"/>
          <w:sz w:val="20"/>
          <w:szCs w:val="20"/>
        </w:rPr>
        <w:t>res</w:t>
      </w:r>
    </w:p>
    <w:p w:rsidR="009660C5" w:rsidRDefault="0032192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920">
        <w:rPr>
          <w:rFonts w:ascii="Arial" w:hAnsi="Arial" w:cs="Arial"/>
          <w:sz w:val="20"/>
          <w:szCs w:val="20"/>
        </w:rPr>
        <w:t xml:space="preserve">2. Number of additional shares issued from increasing share capital from owners' equity: 7,203,595 shares  </w:t>
      </w:r>
    </w:p>
    <w:p w:rsidR="009660C5" w:rsidRDefault="0032192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920">
        <w:rPr>
          <w:rFonts w:ascii="Arial" w:hAnsi="Arial" w:cs="Arial"/>
          <w:sz w:val="20"/>
          <w:szCs w:val="20"/>
        </w:rPr>
        <w:t>3. Number of shares offered to existing</w:t>
      </w:r>
      <w:r w:rsidR="009660C5">
        <w:rPr>
          <w:rFonts w:ascii="Arial" w:hAnsi="Arial" w:cs="Arial"/>
          <w:sz w:val="20"/>
          <w:szCs w:val="20"/>
        </w:rPr>
        <w:t xml:space="preserve"> shareholders: 6,003,761 shares</w:t>
      </w:r>
    </w:p>
    <w:p w:rsidR="00DD36B9" w:rsidRDefault="0032192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920">
        <w:rPr>
          <w:rFonts w:ascii="Arial" w:hAnsi="Arial" w:cs="Arial"/>
          <w:sz w:val="20"/>
          <w:szCs w:val="20"/>
        </w:rPr>
        <w:t>4. Number of remaining shares (</w:t>
      </w:r>
      <w:r w:rsidR="009660C5">
        <w:rPr>
          <w:rFonts w:ascii="Arial" w:hAnsi="Arial" w:cs="Arial"/>
          <w:sz w:val="20"/>
          <w:szCs w:val="20"/>
        </w:rPr>
        <w:t>shares</w:t>
      </w:r>
      <w:r w:rsidR="00DD36B9">
        <w:rPr>
          <w:rFonts w:ascii="Arial" w:hAnsi="Arial" w:cs="Arial"/>
          <w:sz w:val="20"/>
          <w:szCs w:val="20"/>
        </w:rPr>
        <w:t xml:space="preserve"> not purchased by the outstanding shareholders): 1,199,834 shares</w:t>
      </w:r>
    </w:p>
    <w:p w:rsidR="00321920" w:rsidRDefault="0032192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920">
        <w:rPr>
          <w:rFonts w:ascii="Arial" w:hAnsi="Arial" w:cs="Arial"/>
          <w:sz w:val="20"/>
          <w:szCs w:val="20"/>
        </w:rPr>
        <w:t xml:space="preserve">Article 2: Approving the offering of </w:t>
      </w:r>
      <w:r w:rsidR="00DD36B9">
        <w:rPr>
          <w:rFonts w:ascii="Arial" w:hAnsi="Arial" w:cs="Arial"/>
          <w:sz w:val="20"/>
          <w:szCs w:val="20"/>
        </w:rPr>
        <w:t>unsold shares</w:t>
      </w:r>
      <w:r w:rsidRPr="00321920">
        <w:rPr>
          <w:rFonts w:ascii="Arial" w:hAnsi="Arial" w:cs="Arial"/>
          <w:sz w:val="20"/>
          <w:szCs w:val="20"/>
        </w:rPr>
        <w:t xml:space="preserve"> in the </w:t>
      </w:r>
      <w:r w:rsidR="00DD36B9">
        <w:rPr>
          <w:rFonts w:ascii="Arial" w:hAnsi="Arial" w:cs="Arial"/>
          <w:sz w:val="20"/>
          <w:szCs w:val="20"/>
        </w:rPr>
        <w:t xml:space="preserve">share issue </w:t>
      </w:r>
      <w:r w:rsidRPr="00321920">
        <w:rPr>
          <w:rFonts w:ascii="Arial" w:hAnsi="Arial" w:cs="Arial"/>
          <w:sz w:val="20"/>
          <w:szCs w:val="20"/>
        </w:rPr>
        <w:t>as follows:</w:t>
      </w:r>
    </w:p>
    <w:p w:rsidR="00C1436B" w:rsidRDefault="00DD36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36B9">
        <w:rPr>
          <w:rFonts w:ascii="Arial" w:hAnsi="Arial" w:cs="Arial"/>
          <w:sz w:val="20"/>
          <w:szCs w:val="20"/>
        </w:rPr>
        <w:t xml:space="preserve">1. The Board of Directors decided to offer the remaining 1,199,834 shares to </w:t>
      </w:r>
      <w:r w:rsidR="005E02E3">
        <w:rPr>
          <w:rFonts w:ascii="Arial" w:hAnsi="Arial" w:cs="Arial"/>
          <w:sz w:val="20"/>
          <w:szCs w:val="20"/>
        </w:rPr>
        <w:t>outstanding shareholders who are also</w:t>
      </w:r>
      <w:r w:rsidRPr="00DD36B9">
        <w:rPr>
          <w:rFonts w:ascii="Arial" w:hAnsi="Arial" w:cs="Arial"/>
          <w:sz w:val="20"/>
          <w:szCs w:val="20"/>
        </w:rPr>
        <w:t xml:space="preserve"> officials w</w:t>
      </w:r>
      <w:r w:rsidR="005E02E3">
        <w:rPr>
          <w:rFonts w:ascii="Arial" w:hAnsi="Arial" w:cs="Arial"/>
          <w:sz w:val="20"/>
          <w:szCs w:val="20"/>
        </w:rPr>
        <w:t>orking</w:t>
      </w:r>
      <w:r w:rsidRPr="00DD36B9">
        <w:rPr>
          <w:rFonts w:ascii="Arial" w:hAnsi="Arial" w:cs="Arial"/>
          <w:sz w:val="20"/>
          <w:szCs w:val="20"/>
        </w:rPr>
        <w:t xml:space="preserve"> for a long time at the Company and other investors </w:t>
      </w:r>
      <w:r w:rsidR="003D6664">
        <w:rPr>
          <w:rFonts w:ascii="Arial" w:hAnsi="Arial" w:cs="Arial"/>
          <w:sz w:val="20"/>
          <w:szCs w:val="20"/>
        </w:rPr>
        <w:t>in order to attach benefits and responsibility to</w:t>
      </w:r>
      <w:r w:rsidRPr="00DD36B9">
        <w:rPr>
          <w:rFonts w:ascii="Arial" w:hAnsi="Arial" w:cs="Arial"/>
          <w:sz w:val="20"/>
          <w:szCs w:val="20"/>
        </w:rPr>
        <w:t xml:space="preserve"> the Comp</w:t>
      </w:r>
      <w:r w:rsidR="00843F7D">
        <w:rPr>
          <w:rFonts w:ascii="Arial" w:hAnsi="Arial" w:cs="Arial"/>
          <w:sz w:val="20"/>
          <w:szCs w:val="20"/>
        </w:rPr>
        <w:t>any's sustainable development. For t</w:t>
      </w:r>
      <w:r w:rsidRPr="00DD36B9">
        <w:rPr>
          <w:rFonts w:ascii="Arial" w:hAnsi="Arial" w:cs="Arial"/>
          <w:sz w:val="20"/>
          <w:szCs w:val="20"/>
        </w:rPr>
        <w:t xml:space="preserve">he handling of undistributed shares, the Company undertakes to comply with the provisions of Clause 3 - </w:t>
      </w:r>
      <w:r w:rsidR="00C1436B">
        <w:rPr>
          <w:rFonts w:ascii="Arial" w:hAnsi="Arial" w:cs="Arial"/>
          <w:sz w:val="20"/>
          <w:szCs w:val="20"/>
        </w:rPr>
        <w:t>Article 9 of Decree No.</w:t>
      </w:r>
      <w:r w:rsidR="00843F7D">
        <w:rPr>
          <w:rFonts w:ascii="Arial" w:hAnsi="Arial" w:cs="Arial"/>
          <w:sz w:val="20"/>
          <w:szCs w:val="20"/>
        </w:rPr>
        <w:t>58/2012/ND-</w:t>
      </w:r>
      <w:r w:rsidRPr="00DD36B9">
        <w:rPr>
          <w:rFonts w:ascii="Arial" w:hAnsi="Arial" w:cs="Arial"/>
          <w:sz w:val="20"/>
          <w:szCs w:val="20"/>
        </w:rPr>
        <w:t>CP dated July 20,</w:t>
      </w:r>
      <w:r w:rsidR="00843F7D">
        <w:rPr>
          <w:rFonts w:ascii="Arial" w:hAnsi="Arial" w:cs="Arial"/>
          <w:sz w:val="20"/>
          <w:szCs w:val="20"/>
        </w:rPr>
        <w:t xml:space="preserve"> 2012 amended and supplemented from C</w:t>
      </w:r>
      <w:r w:rsidRPr="00DD36B9">
        <w:rPr>
          <w:rFonts w:ascii="Arial" w:hAnsi="Arial" w:cs="Arial"/>
          <w:sz w:val="20"/>
          <w:szCs w:val="20"/>
        </w:rPr>
        <w:t>l</w:t>
      </w:r>
      <w:r w:rsidR="00C1436B">
        <w:rPr>
          <w:rFonts w:ascii="Arial" w:hAnsi="Arial" w:cs="Arial"/>
          <w:sz w:val="20"/>
          <w:szCs w:val="20"/>
        </w:rPr>
        <w:t>ause 7, Article 1 of Decree No.</w:t>
      </w:r>
      <w:r w:rsidRPr="00DD36B9">
        <w:rPr>
          <w:rFonts w:ascii="Arial" w:hAnsi="Arial" w:cs="Arial"/>
          <w:sz w:val="20"/>
          <w:szCs w:val="20"/>
        </w:rPr>
        <w:t>60/2015</w:t>
      </w:r>
      <w:r w:rsidR="00C1436B">
        <w:rPr>
          <w:rFonts w:ascii="Arial" w:hAnsi="Arial" w:cs="Arial"/>
          <w:sz w:val="20"/>
          <w:szCs w:val="20"/>
        </w:rPr>
        <w:t>/</w:t>
      </w:r>
      <w:r w:rsidRPr="00DD36B9">
        <w:rPr>
          <w:rFonts w:ascii="Arial" w:hAnsi="Arial" w:cs="Arial"/>
          <w:sz w:val="20"/>
          <w:szCs w:val="20"/>
        </w:rPr>
        <w:t>ND</w:t>
      </w:r>
      <w:r w:rsidR="00C1436B">
        <w:rPr>
          <w:rFonts w:ascii="Arial" w:hAnsi="Arial" w:cs="Arial"/>
          <w:sz w:val="20"/>
          <w:szCs w:val="20"/>
        </w:rPr>
        <w:t>-CP dated June 26, 2015</w:t>
      </w:r>
    </w:p>
    <w:p w:rsidR="00C1436B" w:rsidRDefault="00DD36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36B9">
        <w:rPr>
          <w:rFonts w:ascii="Arial" w:hAnsi="Arial" w:cs="Arial"/>
          <w:sz w:val="20"/>
          <w:szCs w:val="20"/>
        </w:rPr>
        <w:t xml:space="preserve">2. The specific list is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916"/>
      </w:tblGrid>
      <w:tr w:rsidR="00C1436B" w:rsidTr="00C1436B">
        <w:tc>
          <w:tcPr>
            <w:tcW w:w="558" w:type="dxa"/>
          </w:tcPr>
          <w:p w:rsidR="00C1436B" w:rsidRDefault="00C1436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72" w:type="dxa"/>
          </w:tcPr>
          <w:p w:rsidR="00C1436B" w:rsidRDefault="00C1436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shareholder</w:t>
            </w:r>
          </w:p>
        </w:tc>
        <w:tc>
          <w:tcPr>
            <w:tcW w:w="1915" w:type="dxa"/>
          </w:tcPr>
          <w:p w:rsidR="00C1436B" w:rsidRDefault="00C1436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915" w:type="dxa"/>
          </w:tcPr>
          <w:p w:rsidR="00C1436B" w:rsidRDefault="00C1436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card No.</w:t>
            </w:r>
          </w:p>
        </w:tc>
        <w:tc>
          <w:tcPr>
            <w:tcW w:w="1916" w:type="dxa"/>
          </w:tcPr>
          <w:p w:rsidR="00C1436B" w:rsidRDefault="00C1436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shares registered to buy</w:t>
            </w:r>
          </w:p>
        </w:tc>
      </w:tr>
      <w:tr w:rsidR="00C1436B" w:rsidTr="00C1436B">
        <w:tc>
          <w:tcPr>
            <w:tcW w:w="558" w:type="dxa"/>
          </w:tcPr>
          <w:p w:rsidR="00C1436B" w:rsidRDefault="00C1436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C1436B" w:rsidRDefault="00BF1D5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6B9">
              <w:rPr>
                <w:rFonts w:ascii="Arial" w:hAnsi="Arial" w:cs="Arial"/>
                <w:sz w:val="20"/>
                <w:szCs w:val="20"/>
              </w:rPr>
              <w:t>Vo Hong Thai</w:t>
            </w:r>
          </w:p>
        </w:tc>
        <w:tc>
          <w:tcPr>
            <w:tcW w:w="1915" w:type="dxa"/>
          </w:tcPr>
          <w:p w:rsidR="00C1436B" w:rsidRDefault="0017014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Official of planning and materials</w:t>
            </w:r>
          </w:p>
        </w:tc>
        <w:tc>
          <w:tcPr>
            <w:tcW w:w="1915" w:type="dxa"/>
          </w:tcPr>
          <w:p w:rsidR="00C1436B" w:rsidRDefault="00BF1D5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6B9">
              <w:rPr>
                <w:rFonts w:ascii="Arial" w:hAnsi="Arial" w:cs="Arial"/>
                <w:sz w:val="20"/>
                <w:szCs w:val="20"/>
              </w:rPr>
              <w:t>201506035</w:t>
            </w:r>
          </w:p>
        </w:tc>
        <w:tc>
          <w:tcPr>
            <w:tcW w:w="1916" w:type="dxa"/>
          </w:tcPr>
          <w:p w:rsidR="00C1436B" w:rsidRDefault="00BF1D5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6B9">
              <w:rPr>
                <w:rFonts w:ascii="Arial" w:hAnsi="Arial" w:cs="Arial"/>
                <w:sz w:val="20"/>
                <w:szCs w:val="20"/>
              </w:rPr>
              <w:t>696,834 shares</w:t>
            </w:r>
          </w:p>
        </w:tc>
      </w:tr>
      <w:tr w:rsidR="00C1436B" w:rsidTr="00C1436B">
        <w:tc>
          <w:tcPr>
            <w:tcW w:w="558" w:type="dxa"/>
          </w:tcPr>
          <w:p w:rsidR="00C1436B" w:rsidRDefault="00C1436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C1436B" w:rsidRDefault="00BF1D5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6B9">
              <w:rPr>
                <w:rFonts w:ascii="Arial" w:hAnsi="Arial" w:cs="Arial"/>
                <w:sz w:val="20"/>
                <w:szCs w:val="20"/>
              </w:rPr>
              <w:t xml:space="preserve">Doan </w:t>
            </w:r>
            <w:proofErr w:type="spellStart"/>
            <w:r w:rsidRPr="00DD36B9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DD36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6B9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DD36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6B9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1915" w:type="dxa"/>
          </w:tcPr>
          <w:p w:rsidR="00C1436B" w:rsidRDefault="00D4663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Accountant</w:t>
            </w:r>
          </w:p>
        </w:tc>
        <w:tc>
          <w:tcPr>
            <w:tcW w:w="1915" w:type="dxa"/>
          </w:tcPr>
          <w:p w:rsidR="00C1436B" w:rsidRDefault="00BF1D5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6B9">
              <w:rPr>
                <w:rFonts w:ascii="Arial" w:hAnsi="Arial" w:cs="Arial"/>
                <w:sz w:val="20"/>
                <w:szCs w:val="20"/>
              </w:rPr>
              <w:t>186601492</w:t>
            </w:r>
          </w:p>
        </w:tc>
        <w:tc>
          <w:tcPr>
            <w:tcW w:w="1916" w:type="dxa"/>
          </w:tcPr>
          <w:p w:rsidR="00C1436B" w:rsidRDefault="00BF1D5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6B9">
              <w:rPr>
                <w:rFonts w:ascii="Arial" w:hAnsi="Arial" w:cs="Arial"/>
                <w:sz w:val="20"/>
                <w:szCs w:val="20"/>
              </w:rPr>
              <w:t xml:space="preserve">3,000 shares  </w:t>
            </w:r>
          </w:p>
        </w:tc>
      </w:tr>
      <w:tr w:rsidR="00C1436B" w:rsidTr="00C1436B">
        <w:tc>
          <w:tcPr>
            <w:tcW w:w="558" w:type="dxa"/>
          </w:tcPr>
          <w:p w:rsidR="00C1436B" w:rsidRDefault="00C1436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2" w:type="dxa"/>
          </w:tcPr>
          <w:p w:rsidR="00C1436B" w:rsidRDefault="00BF1D5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6B9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DD36B9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DD36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6B9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DD36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6B9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1915" w:type="dxa"/>
          </w:tcPr>
          <w:p w:rsidR="00C1436B" w:rsidRDefault="00D4663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investor</w:t>
            </w:r>
          </w:p>
        </w:tc>
        <w:tc>
          <w:tcPr>
            <w:tcW w:w="1915" w:type="dxa"/>
          </w:tcPr>
          <w:p w:rsidR="00C1436B" w:rsidRDefault="0017014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6B9">
              <w:rPr>
                <w:rFonts w:ascii="Arial" w:hAnsi="Arial" w:cs="Arial"/>
                <w:sz w:val="20"/>
                <w:szCs w:val="20"/>
              </w:rPr>
              <w:t>024141805</w:t>
            </w:r>
          </w:p>
        </w:tc>
        <w:tc>
          <w:tcPr>
            <w:tcW w:w="1916" w:type="dxa"/>
          </w:tcPr>
          <w:p w:rsidR="00C1436B" w:rsidRDefault="0017014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6B9">
              <w:rPr>
                <w:rFonts w:ascii="Arial" w:hAnsi="Arial" w:cs="Arial"/>
                <w:sz w:val="20"/>
                <w:szCs w:val="20"/>
              </w:rPr>
              <w:t>400,000 shares</w:t>
            </w:r>
          </w:p>
        </w:tc>
      </w:tr>
      <w:tr w:rsidR="00D46631" w:rsidTr="00C1436B">
        <w:tc>
          <w:tcPr>
            <w:tcW w:w="558" w:type="dxa"/>
          </w:tcPr>
          <w:p w:rsidR="00D46631" w:rsidRDefault="00D46631" w:rsidP="00D466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2" w:type="dxa"/>
          </w:tcPr>
          <w:p w:rsidR="00D46631" w:rsidRDefault="00D46631" w:rsidP="00D466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6B9">
              <w:rPr>
                <w:rFonts w:ascii="Arial" w:hAnsi="Arial" w:cs="Arial"/>
                <w:sz w:val="20"/>
                <w:szCs w:val="20"/>
              </w:rPr>
              <w:t xml:space="preserve">Truong </w:t>
            </w:r>
            <w:proofErr w:type="spellStart"/>
            <w:r w:rsidRPr="00DD36B9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DD36B9">
              <w:rPr>
                <w:rFonts w:ascii="Arial" w:hAnsi="Arial" w:cs="Arial"/>
                <w:sz w:val="20"/>
                <w:szCs w:val="20"/>
              </w:rPr>
              <w:t xml:space="preserve"> Hung</w:t>
            </w:r>
          </w:p>
        </w:tc>
        <w:tc>
          <w:tcPr>
            <w:tcW w:w="1915" w:type="dxa"/>
          </w:tcPr>
          <w:p w:rsidR="00D46631" w:rsidRDefault="00D46631" w:rsidP="00D466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investor</w:t>
            </w:r>
          </w:p>
        </w:tc>
        <w:tc>
          <w:tcPr>
            <w:tcW w:w="1915" w:type="dxa"/>
          </w:tcPr>
          <w:p w:rsidR="00D46631" w:rsidRDefault="00D46631" w:rsidP="00D466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6B9">
              <w:rPr>
                <w:rFonts w:ascii="Arial" w:hAnsi="Arial" w:cs="Arial"/>
                <w:sz w:val="20"/>
                <w:szCs w:val="20"/>
              </w:rPr>
              <w:t>24518567</w:t>
            </w:r>
          </w:p>
        </w:tc>
        <w:tc>
          <w:tcPr>
            <w:tcW w:w="1916" w:type="dxa"/>
          </w:tcPr>
          <w:p w:rsidR="00D46631" w:rsidRDefault="00D46631" w:rsidP="00D466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6B9">
              <w:rPr>
                <w:rFonts w:ascii="Arial" w:hAnsi="Arial" w:cs="Arial"/>
                <w:sz w:val="20"/>
                <w:szCs w:val="20"/>
              </w:rPr>
              <w:t>100,000 shares</w:t>
            </w:r>
          </w:p>
        </w:tc>
      </w:tr>
    </w:tbl>
    <w:p w:rsidR="00C1436B" w:rsidRDefault="00C1436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36B9" w:rsidRDefault="0017014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46631">
        <w:rPr>
          <w:rFonts w:ascii="Arial" w:hAnsi="Arial" w:cs="Arial"/>
          <w:sz w:val="20"/>
          <w:szCs w:val="20"/>
        </w:rPr>
        <w:t>Offering price: VND 10,000/</w:t>
      </w:r>
      <w:r w:rsidR="00DD36B9" w:rsidRPr="00DD36B9">
        <w:rPr>
          <w:rFonts w:ascii="Arial" w:hAnsi="Arial" w:cs="Arial"/>
          <w:sz w:val="20"/>
          <w:szCs w:val="20"/>
        </w:rPr>
        <w:t xml:space="preserve">share </w:t>
      </w:r>
    </w:p>
    <w:p w:rsidR="00983DF7" w:rsidRDefault="00D466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6631">
        <w:rPr>
          <w:rFonts w:ascii="Arial" w:hAnsi="Arial" w:cs="Arial"/>
          <w:sz w:val="20"/>
          <w:szCs w:val="20"/>
        </w:rPr>
        <w:t xml:space="preserve">4. </w:t>
      </w:r>
      <w:r w:rsidR="00983DF7">
        <w:rPr>
          <w:rFonts w:ascii="Arial" w:hAnsi="Arial" w:cs="Arial"/>
          <w:sz w:val="20"/>
          <w:szCs w:val="20"/>
        </w:rPr>
        <w:t>Payment time for share purchase</w:t>
      </w:r>
      <w:r w:rsidRPr="00D46631">
        <w:rPr>
          <w:rFonts w:ascii="Arial" w:hAnsi="Arial" w:cs="Arial"/>
          <w:sz w:val="20"/>
          <w:szCs w:val="20"/>
        </w:rPr>
        <w:t>: from</w:t>
      </w:r>
      <w:r w:rsidR="00983DF7">
        <w:rPr>
          <w:rFonts w:ascii="Arial" w:hAnsi="Arial" w:cs="Arial"/>
          <w:sz w:val="20"/>
          <w:szCs w:val="20"/>
        </w:rPr>
        <w:t xml:space="preserve"> July 13, 2020 to July 21, 2020</w:t>
      </w:r>
    </w:p>
    <w:p w:rsidR="004B75CD" w:rsidRDefault="00D466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6631">
        <w:rPr>
          <w:rFonts w:ascii="Arial" w:hAnsi="Arial" w:cs="Arial"/>
          <w:sz w:val="20"/>
          <w:szCs w:val="20"/>
        </w:rPr>
        <w:t xml:space="preserve">5. </w:t>
      </w:r>
      <w:r w:rsidR="00CB4804">
        <w:rPr>
          <w:rFonts w:ascii="Arial" w:hAnsi="Arial" w:cs="Arial"/>
          <w:sz w:val="20"/>
          <w:szCs w:val="20"/>
        </w:rPr>
        <w:t>P</w:t>
      </w:r>
      <w:r w:rsidRPr="00D46631">
        <w:rPr>
          <w:rFonts w:ascii="Arial" w:hAnsi="Arial" w:cs="Arial"/>
          <w:sz w:val="20"/>
          <w:szCs w:val="20"/>
        </w:rPr>
        <w:t>ayment: The shareholders</w:t>
      </w:r>
      <w:r w:rsidR="00CB4804">
        <w:rPr>
          <w:rFonts w:ascii="Arial" w:hAnsi="Arial" w:cs="Arial"/>
          <w:sz w:val="20"/>
          <w:szCs w:val="20"/>
        </w:rPr>
        <w:t xml:space="preserve"> who are</w:t>
      </w:r>
      <w:r w:rsidRPr="00D46631">
        <w:rPr>
          <w:rFonts w:ascii="Arial" w:hAnsi="Arial" w:cs="Arial"/>
          <w:sz w:val="20"/>
          <w:szCs w:val="20"/>
        </w:rPr>
        <w:t xml:space="preserve"> offered in this phase will </w:t>
      </w:r>
      <w:r w:rsidR="00CB4804">
        <w:rPr>
          <w:rFonts w:ascii="Arial" w:hAnsi="Arial" w:cs="Arial"/>
          <w:sz w:val="20"/>
          <w:szCs w:val="20"/>
        </w:rPr>
        <w:t>register at</w:t>
      </w:r>
      <w:r w:rsidRPr="00D46631">
        <w:rPr>
          <w:rFonts w:ascii="Arial" w:hAnsi="Arial" w:cs="Arial"/>
          <w:sz w:val="20"/>
          <w:szCs w:val="20"/>
        </w:rPr>
        <w:t xml:space="preserve"> the Finance and Accounting Department of </w:t>
      </w:r>
      <w:proofErr w:type="spellStart"/>
      <w:r w:rsidRPr="00D46631">
        <w:rPr>
          <w:rFonts w:ascii="Arial" w:hAnsi="Arial" w:cs="Arial"/>
          <w:sz w:val="20"/>
          <w:szCs w:val="20"/>
        </w:rPr>
        <w:t>Thuan</w:t>
      </w:r>
      <w:proofErr w:type="spellEnd"/>
      <w:r w:rsidRPr="00D4663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46631">
        <w:rPr>
          <w:rFonts w:ascii="Arial" w:hAnsi="Arial" w:cs="Arial"/>
          <w:sz w:val="20"/>
          <w:szCs w:val="20"/>
        </w:rPr>
        <w:t>Phuoc</w:t>
      </w:r>
      <w:proofErr w:type="spellEnd"/>
      <w:r w:rsidRPr="00D46631">
        <w:rPr>
          <w:rFonts w:ascii="Arial" w:hAnsi="Arial" w:cs="Arial"/>
          <w:sz w:val="20"/>
          <w:szCs w:val="20"/>
        </w:rPr>
        <w:t xml:space="preserve"> Seafood and T</w:t>
      </w:r>
      <w:r w:rsidR="00EE52A3">
        <w:rPr>
          <w:rFonts w:ascii="Arial" w:hAnsi="Arial" w:cs="Arial"/>
          <w:sz w:val="20"/>
          <w:szCs w:val="20"/>
        </w:rPr>
        <w:t>rading Joint Stock Company and make payment</w:t>
      </w:r>
      <w:r w:rsidRPr="00D46631">
        <w:rPr>
          <w:rFonts w:ascii="Arial" w:hAnsi="Arial" w:cs="Arial"/>
          <w:sz w:val="20"/>
          <w:szCs w:val="20"/>
        </w:rPr>
        <w:t xml:space="preserve"> by tran</w:t>
      </w:r>
      <w:r w:rsidR="00EE52A3">
        <w:rPr>
          <w:rFonts w:ascii="Arial" w:hAnsi="Arial" w:cs="Arial"/>
          <w:sz w:val="20"/>
          <w:szCs w:val="20"/>
        </w:rPr>
        <w:t>sferring money to the escrow</w:t>
      </w:r>
      <w:r w:rsidR="00A55C74">
        <w:rPr>
          <w:rFonts w:ascii="Arial" w:hAnsi="Arial" w:cs="Arial"/>
          <w:sz w:val="20"/>
          <w:szCs w:val="20"/>
        </w:rPr>
        <w:t xml:space="preserve"> bank account </w:t>
      </w:r>
      <w:r w:rsidRPr="00D46631">
        <w:rPr>
          <w:rFonts w:ascii="Arial" w:hAnsi="Arial" w:cs="Arial"/>
          <w:sz w:val="20"/>
          <w:szCs w:val="20"/>
        </w:rPr>
        <w:t>(Account name</w:t>
      </w:r>
      <w:r w:rsidR="00A55C74">
        <w:rPr>
          <w:rFonts w:ascii="Arial" w:hAnsi="Arial" w:cs="Arial"/>
          <w:sz w:val="20"/>
          <w:szCs w:val="20"/>
        </w:rPr>
        <w:t xml:space="preserve">: </w:t>
      </w:r>
      <w:r w:rsidRPr="00D46631">
        <w:rPr>
          <w:rFonts w:ascii="Arial" w:hAnsi="Arial" w:cs="Arial"/>
          <w:sz w:val="20"/>
          <w:szCs w:val="20"/>
        </w:rPr>
        <w:t>113002689976 at Vietnam Joint Stock Commercia</w:t>
      </w:r>
      <w:r w:rsidR="00A55C74">
        <w:rPr>
          <w:rFonts w:ascii="Arial" w:hAnsi="Arial" w:cs="Arial"/>
          <w:sz w:val="20"/>
          <w:szCs w:val="20"/>
        </w:rPr>
        <w:t>l Bank for Industry and Trade -</w:t>
      </w:r>
      <w:r w:rsidRPr="00D46631">
        <w:rPr>
          <w:rFonts w:ascii="Arial" w:hAnsi="Arial" w:cs="Arial"/>
          <w:sz w:val="20"/>
          <w:szCs w:val="20"/>
        </w:rPr>
        <w:t xml:space="preserve"> Da Nang</w:t>
      </w:r>
      <w:r w:rsidR="00A55C74">
        <w:rPr>
          <w:rFonts w:ascii="Arial" w:hAnsi="Arial" w:cs="Arial"/>
          <w:sz w:val="20"/>
          <w:szCs w:val="20"/>
        </w:rPr>
        <w:t xml:space="preserve"> Branch)</w:t>
      </w:r>
      <w:r w:rsidRPr="00D46631">
        <w:rPr>
          <w:rFonts w:ascii="Arial" w:hAnsi="Arial" w:cs="Arial"/>
          <w:sz w:val="20"/>
          <w:szCs w:val="20"/>
        </w:rPr>
        <w:t xml:space="preserve">/ pay cash at Finance and Accounting Department of </w:t>
      </w:r>
      <w:proofErr w:type="spellStart"/>
      <w:r w:rsidR="004B75CD" w:rsidRPr="004B75CD">
        <w:rPr>
          <w:rFonts w:ascii="Arial" w:hAnsi="Arial" w:cs="Arial"/>
          <w:sz w:val="20"/>
          <w:szCs w:val="20"/>
        </w:rPr>
        <w:t>Thuan</w:t>
      </w:r>
      <w:proofErr w:type="spellEnd"/>
      <w:r w:rsidR="004B75CD" w:rsidRPr="004B75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75CD" w:rsidRPr="004B75CD">
        <w:rPr>
          <w:rFonts w:ascii="Arial" w:hAnsi="Arial" w:cs="Arial"/>
          <w:sz w:val="20"/>
          <w:szCs w:val="20"/>
        </w:rPr>
        <w:t>Phuoc</w:t>
      </w:r>
      <w:proofErr w:type="spellEnd"/>
      <w:r w:rsidR="004B75CD" w:rsidRPr="004B75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75CD" w:rsidRPr="004B75CD">
        <w:rPr>
          <w:rFonts w:ascii="Arial" w:hAnsi="Arial" w:cs="Arial"/>
          <w:sz w:val="20"/>
          <w:szCs w:val="20"/>
        </w:rPr>
        <w:t>Seafoods</w:t>
      </w:r>
      <w:proofErr w:type="spellEnd"/>
      <w:r w:rsidR="004B75CD" w:rsidRPr="004B75CD">
        <w:rPr>
          <w:rFonts w:ascii="Arial" w:hAnsi="Arial" w:cs="Arial"/>
          <w:sz w:val="20"/>
          <w:szCs w:val="20"/>
        </w:rPr>
        <w:t xml:space="preserve"> and Trading Corporation</w:t>
      </w:r>
    </w:p>
    <w:p w:rsidR="004B75CD" w:rsidRDefault="00D466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6631">
        <w:rPr>
          <w:rFonts w:ascii="Arial" w:hAnsi="Arial" w:cs="Arial"/>
          <w:sz w:val="20"/>
          <w:szCs w:val="20"/>
        </w:rPr>
        <w:t>6. The number of shares offered to shareholders according to the above list will be restricted from transfer within 01 year from the date of completion of the offering</w:t>
      </w:r>
    </w:p>
    <w:p w:rsidR="00D46631" w:rsidRDefault="00D466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6631">
        <w:rPr>
          <w:rFonts w:ascii="Arial" w:hAnsi="Arial" w:cs="Arial"/>
          <w:sz w:val="20"/>
          <w:szCs w:val="20"/>
        </w:rPr>
        <w:t>Article 3: This Resolution takes ef</w:t>
      </w:r>
      <w:r w:rsidR="004B75CD">
        <w:rPr>
          <w:rFonts w:ascii="Arial" w:hAnsi="Arial" w:cs="Arial"/>
          <w:sz w:val="20"/>
          <w:szCs w:val="20"/>
        </w:rPr>
        <w:t xml:space="preserve">fect from the date of signing. </w:t>
      </w:r>
      <w:r w:rsidRPr="00D46631">
        <w:rPr>
          <w:rFonts w:ascii="Arial" w:hAnsi="Arial" w:cs="Arial"/>
          <w:sz w:val="20"/>
          <w:szCs w:val="20"/>
        </w:rPr>
        <w:t>Directors, departments and individuals concerned are responsible for the implementation of this Resolution</w:t>
      </w:r>
      <w:bookmarkStart w:id="0" w:name="_GoBack"/>
      <w:bookmarkEnd w:id="0"/>
    </w:p>
    <w:sectPr w:rsidR="00D46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BA6"/>
    <w:rsid w:val="004B4798"/>
    <w:rsid w:val="004B75CD"/>
    <w:rsid w:val="004C144F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1306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55C7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339</cp:revision>
  <dcterms:created xsi:type="dcterms:W3CDTF">2019-10-16T10:03:00Z</dcterms:created>
  <dcterms:modified xsi:type="dcterms:W3CDTF">2020-07-14T04:59:00Z</dcterms:modified>
</cp:coreProperties>
</file>